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8CE9">
      <w:pPr>
        <w:jc w:val="center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工程量清单及整治要求</w:t>
      </w:r>
    </w:p>
    <w:p w14:paraId="19A4D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一、项目概况</w:t>
      </w:r>
    </w:p>
    <w:p w14:paraId="70221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1、项目现场为施工后裸露边坡，裸露面积大约1500平方，基本为风化沙质土边坡。</w:t>
      </w:r>
    </w:p>
    <w:p w14:paraId="256D7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2、现场照片</w:t>
      </w:r>
    </w:p>
    <w:p w14:paraId="2BBF1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51515"/>
          <w:spacing w:val="0"/>
          <w:sz w:val="28"/>
          <w:szCs w:val="28"/>
          <w:shd w:val="clear" w:fill="F6FA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51515"/>
          <w:spacing w:val="0"/>
          <w:sz w:val="28"/>
          <w:szCs w:val="28"/>
          <w:shd w:val="clear" w:fill="F6FAFF"/>
          <w:lang w:val="en-US" w:eastAsia="zh-CN"/>
        </w:rPr>
        <w:drawing>
          <wp:inline distT="0" distB="0" distL="114300" distR="114300">
            <wp:extent cx="5512435" cy="2662555"/>
            <wp:effectExtent l="0" t="0" r="0" b="0"/>
            <wp:docPr id="12" name="图片 12" descr="15ccb49a79060c77b85303bf0aaca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ccb49a79060c77b85303bf0aacaff6"/>
                    <pic:cNvPicPr>
                      <a:picLocks noChangeAspect="1"/>
                    </pic:cNvPicPr>
                  </pic:nvPicPr>
                  <pic:blipFill>
                    <a:blip r:embed="rId6"/>
                    <a:srcRect l="-4402" b="28042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91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0" w:firstLineChars="8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151515"/>
          <w:spacing w:val="0"/>
          <w:kern w:val="2"/>
          <w:sz w:val="24"/>
          <w:szCs w:val="24"/>
          <w:shd w:val="clear" w:fill="F6FA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51515"/>
          <w:spacing w:val="0"/>
          <w:kern w:val="2"/>
          <w:sz w:val="24"/>
          <w:szCs w:val="24"/>
          <w:shd w:val="clear" w:fill="F6FAFF"/>
          <w:lang w:val="en-US" w:eastAsia="zh-CN" w:bidi="ar-SA"/>
        </w:rPr>
        <w:t>注：图片裸露黄色土面为本次复绿整治区域</w:t>
      </w:r>
    </w:p>
    <w:p w14:paraId="1816E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二、整治要求</w:t>
      </w:r>
    </w:p>
    <w:p w14:paraId="527B0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根据现场土质和复绿效果采取以下施工工艺。</w:t>
      </w:r>
    </w:p>
    <w:p w14:paraId="112ED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1、挂镀锌铁丝网喷混植生工艺(适用于风化坡面）</w:t>
      </w:r>
    </w:p>
    <w:p w14:paraId="44352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（1）施工程序：边坡排险处理→打锚杆→挂网→固定铁丝网→喷射拌合物→喷播草籽→覆盖无纺布→养护</w:t>
      </w:r>
    </w:p>
    <w:p w14:paraId="5A836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（2）施工工艺</w:t>
      </w:r>
    </w:p>
    <w:p w14:paraId="2BE0B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挂镀锌铁丝网喷混植生：</w:t>
      </w:r>
    </w:p>
    <w:p w14:paraId="3B2DB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①安设锚杆</w:t>
      </w:r>
    </w:p>
    <w:p w14:paraId="094C9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锚杆采用Φ12钢筋制作，分为主锚杆和辅锚杆，主锚杆间距为2m，辅锚杆间距为1m，间隔布置。辅锚杆每间隔一列，设置0.1m直角弯钩，以固定镀锌铁丝网。根据岩层完整程度、坡度确定其打设深度。</w:t>
      </w:r>
    </w:p>
    <w:p w14:paraId="76105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②固定铁丝网</w:t>
      </w:r>
    </w:p>
    <w:p w14:paraId="5B7E3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铁丝网可采用Φ1.6～1.8mm双纽结四边形镀锌铁丝网。将其从坡顶沿坡面顺势铺下，铺设时网应拉紧，铺平顺后将网挂在锚杆上，用连接件或铁丝锁紧，并根据需要采用不同的厚度的混凝土垫块，使铁丝网与坡面保持2～4cm的距离。完成网与锚杆的连接工作后，要严格检查铁丝网与锚杆连接的牢固性，确保网与坡面形成稳固的整体。</w:t>
      </w:r>
    </w:p>
    <w:p w14:paraId="7B55B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③混合物拌和喷射拌和物</w:t>
      </w:r>
    </w:p>
    <w:p w14:paraId="25B38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喷射混合物由绿化基材、种植土壤、纤维及锯末与混合草种（包含葛藤、银合欢、宽叶草、灌木等）按一定的比例组成，经强制式搅拌机拌和而成，拌和时间不小于1min。该配合比应经过对现场的气候环境条件、边坡结构类型、土壤条件等的调查进行室内、现场试验确定。喷植层分基层及表层，总厚度不小于8cm，配营养剂及保水剂。</w:t>
      </w:r>
    </w:p>
    <w:p w14:paraId="68339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坡顶位置人工挖水沟、铺水泥毯排水。</w:t>
      </w:r>
    </w:p>
    <w:p w14:paraId="612B7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④本次整治所需泥土需外购纯泥土。</w:t>
      </w:r>
    </w:p>
    <w:p w14:paraId="76527769">
      <w:pPr>
        <w:snapToGrid w:val="0"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51515"/>
          <w:spacing w:val="0"/>
          <w:sz w:val="28"/>
          <w:szCs w:val="28"/>
          <w:shd w:val="clear" w:fill="F6FA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5158105" cy="3390900"/>
            <wp:effectExtent l="0" t="0" r="4445" b="0"/>
            <wp:docPr id="9" name="图片 9" descr="3e8fa2b767eab7e8be8e9f2ee4cb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e8fa2b767eab7e8be8e9f2ee4cb731"/>
                    <pic:cNvPicPr>
                      <a:picLocks noChangeAspect="1"/>
                    </pic:cNvPicPr>
                  </pic:nvPicPr>
                  <pic:blipFill>
                    <a:blip r:embed="rId7"/>
                    <a:srcRect l="27323" b="2252"/>
                    <a:stretch>
                      <a:fillRect/>
                    </a:stretch>
                  </pic:blipFill>
                  <pic:spPr>
                    <a:xfrm>
                      <a:off x="0" y="0"/>
                      <a:ext cx="515810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D29F">
      <w:pPr>
        <w:snapToGrid w:val="0"/>
        <w:spacing w:line="360" w:lineRule="auto"/>
        <w:ind w:firstLine="2240" w:firstLineChars="8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151515"/>
          <w:spacing w:val="0"/>
          <w:sz w:val="28"/>
          <w:szCs w:val="28"/>
          <w:shd w:val="clear" w:fill="F6FAFF"/>
          <w:lang w:val="en-US" w:eastAsia="zh-CN"/>
        </w:rPr>
        <w:t>挂镀锌铁丝网喷混植生工艺如图示</w:t>
      </w:r>
    </w:p>
    <w:p w14:paraId="460EC6B8"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5245735" cy="3350260"/>
            <wp:effectExtent l="0" t="0" r="12065" b="2540"/>
            <wp:docPr id="10" name="图片 10" descr="a05fb03dad7ede537dcc23dbdba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05fb03dad7ede537dcc23dbdba11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D6AB7">
      <w:pPr>
        <w:ind w:firstLine="2800" w:firstLineChars="10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复绿整治预期效果</w:t>
      </w:r>
    </w:p>
    <w:p w14:paraId="688DB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安全责任</w:t>
      </w:r>
    </w:p>
    <w:p w14:paraId="71205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成交供应商必须实行安全文明施工，制定完善的安全措施及施工方案并予以实施，承担全部安全责任，施工过程中出现的安全隐患，由成交供应商负责排除，如施工过程中出现安全事故，由成交供应商负全责。采购人不负责任何伤亡、劳保福利以及施工中材料被盗等责任。</w:t>
      </w:r>
    </w:p>
    <w:p w14:paraId="2FE70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四、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施工期限</w:t>
      </w:r>
    </w:p>
    <w:p w14:paraId="72DBB8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合同签订后20个日历日完成全部施工内容。</w:t>
      </w:r>
    </w:p>
    <w:p w14:paraId="24AD2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五、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工程款支付</w:t>
      </w:r>
    </w:p>
    <w:p w14:paraId="3524B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项目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按要求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完工验收后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并维护三个月，收到施工单位开具发票后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本项目采取“统采分签”形式由广东江门中医药职业学院负责采购施工单位，施工费用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以采购遴选结果为准。江门市蓬江区人民政府白沙街道办事处承担本次整治费用的30%，广东江门中医药职业学院承担70%。</w:t>
      </w:r>
    </w:p>
    <w:p w14:paraId="1C0D80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质保期：工程竣工验收合格之日起，提供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6个月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养护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期。</w:t>
      </w:r>
    </w:p>
    <w:p w14:paraId="48971FDE">
      <w:pPr>
        <w:ind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B00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7A0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47A0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FD39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2EEE4"/>
    <w:multiLevelType w:val="singleLevel"/>
    <w:tmpl w:val="58C2EEE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E5E220C"/>
    <w:rsid w:val="02B20C36"/>
    <w:rsid w:val="0B5B6228"/>
    <w:rsid w:val="1E5E220C"/>
    <w:rsid w:val="27100117"/>
    <w:rsid w:val="29E14AC1"/>
    <w:rsid w:val="30AF512A"/>
    <w:rsid w:val="38EB747C"/>
    <w:rsid w:val="47FA60E8"/>
    <w:rsid w:val="4F436FF0"/>
    <w:rsid w:val="5B6A6BBF"/>
    <w:rsid w:val="677B0D76"/>
    <w:rsid w:val="754E350B"/>
    <w:rsid w:val="7DB50F61"/>
    <w:rsid w:val="7E2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855</Characters>
  <Lines>0</Lines>
  <Paragraphs>0</Paragraphs>
  <TotalTime>4</TotalTime>
  <ScaleCrop>false</ScaleCrop>
  <LinksUpToDate>false</LinksUpToDate>
  <CharactersWithSpaces>855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2023-02-20T02:17:00Z</dcterms:created>
  <dc:creator>区镇光</dc:creator>
  <cp:lastModifiedBy>波波</cp:lastModifiedBy>
  <dcterms:modified xsi:type="dcterms:W3CDTF">2026-06-02T06:46:13Z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8F442134F8FC493ABD660C52AF418AF3_13</vt:lpwstr>
  </property>
  <property fmtid="{D5CDD505-2E9C-101B-9397-08002B2CF9AE}" pid="4" name="KSOTemplateDocerSaveRecord">
    <vt:lpwstr>eyJoZGlkIjoiYmYyNGY3MGZkZWQxMWQyZWI1YmY4NzA5MDg4MGQ3N2UiLCJ1c2VySWQiOiI0NDk5NzUyODMifQ==</vt:lpwstr>
  </property>
</Properties>
</file>