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1E38617">
      <w:pPr>
        <w:pStyle w:val="7"/>
        <w:spacing w:before="0" w:beforeAutospacing="0" w:after="0" w:afterAutospacing="0" w:line="480" w:lineRule="exact"/>
        <w:jc w:val="both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附件2：护理实训楼电梯拆除和井道修理服务项目评分标准</w:t>
      </w:r>
    </w:p>
    <w:p w14:paraId="63C28BA2">
      <w:pPr>
        <w:pStyle w:val="7"/>
        <w:spacing w:before="0" w:beforeAutospacing="0" w:after="0" w:afterAutospacing="0" w:line="480" w:lineRule="exact"/>
        <w:jc w:val="both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</w:p>
    <w:p w14:paraId="18F5739C">
      <w:pPr>
        <w:pStyle w:val="7"/>
        <w:numPr>
          <w:ilvl w:val="0"/>
          <w:numId w:val="0"/>
        </w:numPr>
        <w:spacing w:before="0" w:beforeAutospacing="0" w:after="0" w:afterAutospacing="0" w:line="480" w:lineRule="exact"/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1. 本次采购服务采用综合评分法确定服务供应商，具体评分标准见《附件》：服务类供应商的评分方法和评分标准。</w:t>
      </w:r>
    </w:p>
    <w:p w14:paraId="2AB76DD1">
      <w:pPr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lang w:val="en-US" w:eastAsia="zh-CN"/>
        </w:rPr>
        <w:t>注：1.需求书中加注“★”的条款均被视为不可偏离条款，投报人要特别加以注意，必须对此响应并完全满足或优于这些条款，否则若有一项加注“★”的条款未响应或不满足，则投报按无效处理。</w:t>
      </w:r>
    </w:p>
    <w:p w14:paraId="3D78E395">
      <w:pPr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lang w:val="en-US" w:eastAsia="zh-CN"/>
        </w:rPr>
        <w:t>2.用户需求书中加注“▲”的条款为重要条款，如不满足将会导致评审时严重扣分。</w:t>
      </w:r>
    </w:p>
    <w:p w14:paraId="0189A7E1"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lang w:val="en-US" w:eastAsia="zh-CN"/>
        </w:rPr>
        <w:t>附件：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</w:rPr>
        <w:t>服务类供应商的评分方法和评分标准</w:t>
      </w:r>
    </w:p>
    <w:p w14:paraId="0CCC7FC7">
      <w:pPr>
        <w:ind w:firstLine="560" w:firstLineChars="200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1、评分方法:采用综合评分法，满分为100分。</w:t>
      </w:r>
    </w:p>
    <w:p w14:paraId="06E903E9">
      <w:pPr>
        <w:ind w:firstLine="560" w:firstLineChars="200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2、价格分采用低价优先法计算，即满足遴选文件要求且报价最低的报价为基准价，其价格分为满分，其他投报单位的价格分统一按下列公式计算:报价得分=(基准价/报价)X价格权值。如评审专家组认为某投报单位报价明显低于其他投报单位报价时，会要求其在合理的时间内提供书面说明，必要时提交相关材料。如投报单位不能在指定时间证明其报价合理性的，评审专家组有权将其作为无效遴选处理。</w:t>
      </w:r>
    </w:p>
    <w:p w14:paraId="7C1A86C0">
      <w:pPr>
        <w:ind w:firstLine="560" w:firstLineChars="200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3、最低报价不作为成交保证。</w:t>
      </w:r>
    </w:p>
    <w:p w14:paraId="099615C8">
      <w:pPr>
        <w:ind w:firstLine="560" w:firstLineChars="200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4、本项目中选供应商推荐家数：3家。按得分从高到低推荐三家。</w:t>
      </w:r>
    </w:p>
    <w:p w14:paraId="5EB1D19F">
      <w:pPr>
        <w:ind w:firstLine="560" w:firstLineChars="200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5、具体评分标准: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1603"/>
        <w:gridCol w:w="5815"/>
      </w:tblGrid>
      <w:tr w14:paraId="1282C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18" w:type="dxa"/>
            <w:noWrap w:val="0"/>
            <w:vAlign w:val="top"/>
          </w:tcPr>
          <w:p w14:paraId="288A36BB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评审因素</w:t>
            </w:r>
          </w:p>
        </w:tc>
        <w:tc>
          <w:tcPr>
            <w:tcW w:w="7418" w:type="dxa"/>
            <w:gridSpan w:val="2"/>
            <w:noWrap w:val="0"/>
            <w:vAlign w:val="top"/>
          </w:tcPr>
          <w:p w14:paraId="0BC7E98D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评审标准</w:t>
            </w:r>
          </w:p>
        </w:tc>
      </w:tr>
      <w:tr w14:paraId="3C229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18" w:type="dxa"/>
            <w:noWrap w:val="0"/>
            <w:vAlign w:val="top"/>
          </w:tcPr>
          <w:p w14:paraId="5B527F14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分值构成</w:t>
            </w:r>
          </w:p>
        </w:tc>
        <w:tc>
          <w:tcPr>
            <w:tcW w:w="7418" w:type="dxa"/>
            <w:gridSpan w:val="2"/>
            <w:noWrap w:val="0"/>
            <w:vAlign w:val="top"/>
          </w:tcPr>
          <w:p w14:paraId="51D03C8D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技术部分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.0分，商务部分2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.0分, 报价得分30.0分</w:t>
            </w:r>
          </w:p>
        </w:tc>
      </w:tr>
      <w:tr w14:paraId="2D517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18" w:type="dxa"/>
            <w:vMerge w:val="restart"/>
            <w:noWrap w:val="0"/>
            <w:vAlign w:val="top"/>
          </w:tcPr>
          <w:p w14:paraId="2559732C">
            <w:pPr>
              <w:spacing w:line="240" w:lineRule="auto"/>
              <w:jc w:val="both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</w:p>
          <w:p w14:paraId="236522D2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</w:p>
          <w:p w14:paraId="787EEBDD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</w:p>
          <w:p w14:paraId="39D69CAB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技术部分</w:t>
            </w:r>
          </w:p>
          <w:p w14:paraId="3ADA0011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1603" w:type="dxa"/>
            <w:noWrap w:val="0"/>
            <w:vAlign w:val="top"/>
          </w:tcPr>
          <w:p w14:paraId="01DEFF9D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</w:p>
          <w:p w14:paraId="2481A04F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</w:p>
          <w:p w14:paraId="1C6A3ED9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 xml:space="preserve">技术评分 </w:t>
            </w:r>
          </w:p>
          <w:p w14:paraId="0758E1DA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（30分）</w:t>
            </w:r>
          </w:p>
        </w:tc>
        <w:tc>
          <w:tcPr>
            <w:tcW w:w="5815" w:type="dxa"/>
            <w:noWrap w:val="0"/>
            <w:vAlign w:val="top"/>
          </w:tcPr>
          <w:p w14:paraId="6AC39371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技术条款完全满足采购需求全部技术要求的得30分。否则，在30分的基础上，每项有“▲”参数不满足的减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分，其他参数每一个不满足的减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  <w:t>0.5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分，减到0分为止。技术要求中任一项指标或要求需提供相关证明文件的而未提供的，则视为不满足。本部分评分内容为客观分，评审专家评分须一致。</w:t>
            </w:r>
          </w:p>
        </w:tc>
      </w:tr>
      <w:tr w14:paraId="12B0A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18" w:type="dxa"/>
            <w:vMerge w:val="continue"/>
            <w:noWrap w:val="0"/>
            <w:vAlign w:val="top"/>
          </w:tcPr>
          <w:p w14:paraId="01007A30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03" w:type="dxa"/>
            <w:noWrap w:val="0"/>
            <w:vAlign w:val="top"/>
          </w:tcPr>
          <w:p w14:paraId="08A32F7E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</w:p>
          <w:p w14:paraId="77C247E1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质量保证措施</w:t>
            </w:r>
          </w:p>
          <w:p w14:paraId="29BB2424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（10分）</w:t>
            </w:r>
          </w:p>
        </w:tc>
        <w:tc>
          <w:tcPr>
            <w:tcW w:w="5815" w:type="dxa"/>
            <w:noWrap w:val="0"/>
            <w:vAlign w:val="top"/>
          </w:tcPr>
          <w:p w14:paraId="2073CF55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投报人质量管理体系健全，技术支持有保障，人员安排合理，能够在服务期内高质量完成采购要求。优秀的，得10分；良好的，得5分；一般的，得1分；不提供0分。</w:t>
            </w:r>
          </w:p>
        </w:tc>
      </w:tr>
      <w:tr w14:paraId="7C2BF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18" w:type="dxa"/>
            <w:vMerge w:val="continue"/>
            <w:noWrap w:val="0"/>
            <w:vAlign w:val="top"/>
          </w:tcPr>
          <w:p w14:paraId="4047DBC3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03" w:type="dxa"/>
            <w:noWrap w:val="0"/>
            <w:vAlign w:val="top"/>
          </w:tcPr>
          <w:p w14:paraId="3CBFE01C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</w:p>
          <w:p w14:paraId="0B58F09D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服务承诺</w:t>
            </w:r>
          </w:p>
          <w:p w14:paraId="4E3F7634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(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分)</w:t>
            </w:r>
          </w:p>
          <w:p w14:paraId="4497499A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5815" w:type="dxa"/>
            <w:noWrap w:val="0"/>
            <w:vAlign w:val="top"/>
          </w:tcPr>
          <w:p w14:paraId="2F019DD5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投报人须提供沟通机制，内容包括①服务人员安排②沟通方案，要求有专人定期沟通、配合。优秀的，得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分；良好的，得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分；一般的，得1分；不提供得0分。</w:t>
            </w:r>
          </w:p>
        </w:tc>
      </w:tr>
      <w:tr w14:paraId="19B54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18" w:type="dxa"/>
            <w:vMerge w:val="restart"/>
            <w:noWrap w:val="0"/>
            <w:vAlign w:val="top"/>
          </w:tcPr>
          <w:p w14:paraId="4F038A28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</w:p>
          <w:p w14:paraId="0B3300DD">
            <w:pPr>
              <w:spacing w:line="240" w:lineRule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</w:p>
          <w:p w14:paraId="011AA3E1">
            <w:pPr>
              <w:spacing w:line="240" w:lineRule="auto"/>
              <w:ind w:firstLine="240" w:firstLineChars="100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商务部分</w:t>
            </w:r>
          </w:p>
          <w:p w14:paraId="4D2CD41A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（2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1603" w:type="dxa"/>
            <w:noWrap w:val="0"/>
            <w:vAlign w:val="top"/>
          </w:tcPr>
          <w:p w14:paraId="7DD6ED10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</w:p>
          <w:p w14:paraId="3A2F1F7E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基本情况</w:t>
            </w:r>
          </w:p>
          <w:p w14:paraId="0DBC84BD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（5分）</w:t>
            </w:r>
          </w:p>
        </w:tc>
        <w:tc>
          <w:tcPr>
            <w:tcW w:w="5815" w:type="dxa"/>
            <w:noWrap w:val="0"/>
            <w:vAlign w:val="top"/>
          </w:tcPr>
          <w:p w14:paraId="36CBA9E3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资质情况(承担专业资质等)，拟投入本项目团队主要成员情况及参与过相关项目的资料，需提供人员名册，必须保证后续参与该项工作。优得5分、较好得3分、一般得1分、不提供得0分。</w:t>
            </w:r>
          </w:p>
        </w:tc>
      </w:tr>
      <w:tr w14:paraId="60F5F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18" w:type="dxa"/>
            <w:vMerge w:val="continue"/>
            <w:noWrap w:val="0"/>
            <w:vAlign w:val="top"/>
          </w:tcPr>
          <w:p w14:paraId="0D6F7B7E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03" w:type="dxa"/>
            <w:noWrap w:val="0"/>
            <w:vAlign w:val="top"/>
          </w:tcPr>
          <w:p w14:paraId="5D53EDBA">
            <w:pPr>
              <w:spacing w:line="240" w:lineRule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</w:p>
          <w:p w14:paraId="05991533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</w:p>
          <w:p w14:paraId="4EB08625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项目业绩</w:t>
            </w:r>
          </w:p>
          <w:p w14:paraId="47DA372D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（10分）</w:t>
            </w:r>
          </w:p>
        </w:tc>
        <w:tc>
          <w:tcPr>
            <w:tcW w:w="5815" w:type="dxa"/>
            <w:noWrap w:val="0"/>
            <w:vAlign w:val="top"/>
          </w:tcPr>
          <w:p w14:paraId="6664A34C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以投报人名义签订的类似项目，每提供一个类似项目得1分，本项满分10分。 注：以上须提供项目合同的复印件并盖投报人公章，项目合同复印件应包含项目名称、合同金额、签约时间、双方盖章等内容，否则不得分。</w:t>
            </w:r>
          </w:p>
        </w:tc>
      </w:tr>
      <w:tr w14:paraId="6728D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18" w:type="dxa"/>
            <w:vMerge w:val="continue"/>
            <w:noWrap w:val="0"/>
            <w:vAlign w:val="top"/>
          </w:tcPr>
          <w:p w14:paraId="347B1974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03" w:type="dxa"/>
            <w:noWrap w:val="0"/>
            <w:vAlign w:val="top"/>
          </w:tcPr>
          <w:p w14:paraId="1C955BBE">
            <w:pPr>
              <w:spacing w:line="240" w:lineRule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</w:p>
          <w:p w14:paraId="784E565C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  <w:t>实施方案</w:t>
            </w:r>
          </w:p>
          <w:p w14:paraId="2C455C98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5815" w:type="dxa"/>
            <w:noWrap w:val="0"/>
            <w:vAlign w:val="top"/>
          </w:tcPr>
          <w:p w14:paraId="24B08664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按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  <w:t>服务要求制定针对本护理实训楼电梯拆除和井道修理服务实施方案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进行评价，全部满足的，优得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分、较好得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分、一般得1分、不提供得0分)。</w:t>
            </w:r>
          </w:p>
        </w:tc>
      </w:tr>
      <w:tr w14:paraId="7AD5B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18" w:type="dxa"/>
            <w:noWrap w:val="0"/>
            <w:vAlign w:val="top"/>
          </w:tcPr>
          <w:p w14:paraId="7753EA87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</w:p>
          <w:p w14:paraId="3162EFFF">
            <w:pPr>
              <w:spacing w:line="240" w:lineRule="auto"/>
              <w:ind w:left="279" w:leftChars="133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投报价</w:t>
            </w:r>
          </w:p>
          <w:p w14:paraId="2527746F">
            <w:pPr>
              <w:spacing w:line="240" w:lineRule="auto"/>
              <w:ind w:firstLine="240" w:firstLineChars="100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（30分）</w:t>
            </w:r>
          </w:p>
        </w:tc>
        <w:tc>
          <w:tcPr>
            <w:tcW w:w="1603" w:type="dxa"/>
            <w:noWrap w:val="0"/>
            <w:vAlign w:val="top"/>
          </w:tcPr>
          <w:p w14:paraId="4D01D3F4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</w:p>
          <w:p w14:paraId="43A28C1A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 xml:space="preserve">投报价 </w:t>
            </w:r>
          </w:p>
          <w:p w14:paraId="29F1B380"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 xml:space="preserve"> （30分）</w:t>
            </w:r>
          </w:p>
        </w:tc>
        <w:tc>
          <w:tcPr>
            <w:tcW w:w="5815" w:type="dxa"/>
            <w:noWrap w:val="0"/>
            <w:vAlign w:val="top"/>
          </w:tcPr>
          <w:p w14:paraId="39811974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投报价得分＝（评标基准价/投报价）×价格分值（注：满足需求且投报价格最低的投报价为评标基准价。）最低报价不是中选的唯一依据。</w:t>
            </w:r>
          </w:p>
        </w:tc>
      </w:tr>
    </w:tbl>
    <w:p w14:paraId="04D29F61">
      <w:pPr>
        <w:spacing w:line="240" w:lineRule="auto"/>
        <w:rPr>
          <w:rFonts w:hint="eastAsia" w:ascii="宋体" w:hAnsi="宋体" w:eastAsia="宋体" w:cs="宋体"/>
          <w:bCs/>
          <w:color w:val="000000"/>
          <w:kern w:val="0"/>
          <w:sz w:val="24"/>
        </w:rPr>
      </w:pPr>
    </w:p>
    <w:p w14:paraId="0330C5AF">
      <w:pPr>
        <w:pStyle w:val="7"/>
        <w:snapToGrid w:val="0"/>
        <w:spacing w:before="0" w:beforeAutospacing="0" w:after="0" w:afterAutospacing="0" w:line="360" w:lineRule="exact"/>
        <w:rPr>
          <w:rFonts w:hint="default" w:ascii="Times New Roman" w:hAnsi="Times New Roman" w:eastAsia="宋体"/>
          <w:color w:val="000000"/>
          <w:kern w:val="2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D0F56C">
    <w:pPr>
      <w:pStyle w:val="10"/>
      <w:framePr w:wrap="around" w:vAnchor="text" w:hAnchor="margin" w:xAlign="center" w:y="1"/>
      <w:rPr>
        <w:rStyle w:val="18"/>
      </w:rPr>
    </w:pPr>
    <w:r>
      <w:fldChar w:fldCharType="begin"/>
    </w:r>
    <w:r>
      <w:rPr>
        <w:rStyle w:val="18"/>
      </w:rPr>
      <w:instrText xml:space="preserve">PAGE  </w:instrText>
    </w:r>
    <w:r>
      <w:fldChar w:fldCharType="separate"/>
    </w:r>
    <w:r>
      <w:rPr>
        <w:rStyle w:val="18"/>
        <w:lang/>
      </w:rPr>
      <w:t>1</w:t>
    </w:r>
    <w:r>
      <w:fldChar w:fldCharType="end"/>
    </w:r>
  </w:p>
  <w:p w14:paraId="4FC03AE5">
    <w:pPr>
      <w:pStyle w:val="10"/>
      <w:jc w:val="right"/>
    </w:pPr>
    <w:r>
      <w:rPr>
        <w:rFonts w:hint="eastAsia"/>
        <w:kern w:val="0"/>
        <w:szCs w:val="21"/>
      </w:rPr>
      <w:t xml:space="preserve">                               </w:t>
    </w:r>
    <w:r>
      <w:rPr>
        <w:kern w:val="0"/>
        <w:szCs w:val="21"/>
      </w:rPr>
      <w:t>- 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2A09"/>
    <w:rsid w:val="00160AE9"/>
    <w:rsid w:val="001637B6"/>
    <w:rsid w:val="0019576E"/>
    <w:rsid w:val="001F4A82"/>
    <w:rsid w:val="002709C7"/>
    <w:rsid w:val="002B5F95"/>
    <w:rsid w:val="002D5929"/>
    <w:rsid w:val="002E5D8B"/>
    <w:rsid w:val="003C6E98"/>
    <w:rsid w:val="00426132"/>
    <w:rsid w:val="004A39C1"/>
    <w:rsid w:val="004A5A05"/>
    <w:rsid w:val="004B0574"/>
    <w:rsid w:val="00551F5C"/>
    <w:rsid w:val="00560531"/>
    <w:rsid w:val="00684A59"/>
    <w:rsid w:val="006B41F0"/>
    <w:rsid w:val="007042D1"/>
    <w:rsid w:val="00765786"/>
    <w:rsid w:val="008368B6"/>
    <w:rsid w:val="00852697"/>
    <w:rsid w:val="009046BB"/>
    <w:rsid w:val="00933ED3"/>
    <w:rsid w:val="00953816"/>
    <w:rsid w:val="009B26F7"/>
    <w:rsid w:val="00A14D9B"/>
    <w:rsid w:val="00A1558D"/>
    <w:rsid w:val="00A25ADA"/>
    <w:rsid w:val="00AA2E0A"/>
    <w:rsid w:val="00B16831"/>
    <w:rsid w:val="00B41015"/>
    <w:rsid w:val="00B93ACF"/>
    <w:rsid w:val="00BB6CAF"/>
    <w:rsid w:val="00BF425B"/>
    <w:rsid w:val="00C33D5D"/>
    <w:rsid w:val="00D1743C"/>
    <w:rsid w:val="00D307E1"/>
    <w:rsid w:val="00E54D24"/>
    <w:rsid w:val="00E85337"/>
    <w:rsid w:val="00EA6F1F"/>
    <w:rsid w:val="00F76DF4"/>
    <w:rsid w:val="00FA6D46"/>
    <w:rsid w:val="00FC0B9B"/>
    <w:rsid w:val="00FC3C42"/>
    <w:rsid w:val="00FC61CD"/>
    <w:rsid w:val="019D3542"/>
    <w:rsid w:val="0A0775C6"/>
    <w:rsid w:val="0B8A4D39"/>
    <w:rsid w:val="0BA91998"/>
    <w:rsid w:val="0C0F6F17"/>
    <w:rsid w:val="0DDD1F4A"/>
    <w:rsid w:val="0E715E49"/>
    <w:rsid w:val="0FC03B56"/>
    <w:rsid w:val="11D91814"/>
    <w:rsid w:val="124B5D15"/>
    <w:rsid w:val="19A07E7C"/>
    <w:rsid w:val="1DAF1267"/>
    <w:rsid w:val="25936633"/>
    <w:rsid w:val="26220EE5"/>
    <w:rsid w:val="2B8C5C18"/>
    <w:rsid w:val="325823E4"/>
    <w:rsid w:val="328440A7"/>
    <w:rsid w:val="37D942AE"/>
    <w:rsid w:val="381C6576"/>
    <w:rsid w:val="395E2D80"/>
    <w:rsid w:val="46090334"/>
    <w:rsid w:val="51994FF6"/>
    <w:rsid w:val="526238F8"/>
    <w:rsid w:val="534C2222"/>
    <w:rsid w:val="57DF393A"/>
    <w:rsid w:val="64F25E85"/>
    <w:rsid w:val="6AD51554"/>
    <w:rsid w:val="6B4B0AA8"/>
    <w:rsid w:val="73817CCA"/>
    <w:rsid w:val="759C4098"/>
    <w:rsid w:val="76A8210F"/>
    <w:rsid w:val="7DB92C33"/>
    <w:rsid w:val="7DFD5A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216" w:lineRule="auto"/>
      <w:outlineLvl w:val="0"/>
    </w:pPr>
    <w:rPr>
      <w:rFonts w:hint="eastAsia" w:ascii="宋体"/>
      <w:b/>
      <w:sz w:val="30"/>
      <w:szCs w:val="20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6">
    <w:name w:val="Default Paragraph Font"/>
    <w:uiPriority w:val="0"/>
  </w:style>
  <w:style w:type="table" w:default="1" w:styleId="14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Style w:val="14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iPriority w:val="0"/>
    <w:pPr>
      <w:spacing w:line="460" w:lineRule="atLeast"/>
      <w:ind w:firstLine="200" w:firstLineChars="200"/>
    </w:pPr>
    <w:rPr>
      <w:spacing w:val="14"/>
      <w:kern w:val="24"/>
      <w:sz w:val="24"/>
      <w:szCs w:val="20"/>
    </w:rPr>
  </w:style>
  <w:style w:type="paragraph" w:styleId="5">
    <w:name w:val="Document Map"/>
    <w:basedOn w:val="1"/>
    <w:uiPriority w:val="0"/>
    <w:pPr>
      <w:shd w:val="clear" w:color="auto" w:fill="000080"/>
    </w:pPr>
  </w:style>
  <w:style w:type="paragraph" w:styleId="6">
    <w:name w:val="Body Text Indent"/>
    <w:basedOn w:val="1"/>
    <w:uiPriority w:val="0"/>
    <w:pPr>
      <w:spacing w:after="120" w:afterLines="0"/>
      <w:ind w:leftChars="200"/>
    </w:pPr>
  </w:style>
  <w:style w:type="paragraph" w:styleId="7">
    <w:name w:val="Plain Text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paragraph" w:styleId="8">
    <w:name w:val="Date"/>
    <w:basedOn w:val="1"/>
    <w:next w:val="1"/>
    <w:uiPriority w:val="0"/>
    <w:rPr>
      <w:rFonts w:ascii="宋体"/>
      <w:sz w:val="24"/>
      <w:szCs w:val="20"/>
    </w:rPr>
  </w:style>
  <w:style w:type="paragraph" w:styleId="9">
    <w:name w:val="Body Text Indent 2"/>
    <w:basedOn w:val="1"/>
    <w:uiPriority w:val="0"/>
    <w:pPr>
      <w:spacing w:after="120" w:afterLines="0" w:line="480" w:lineRule="auto"/>
      <w:ind w:leftChars="200"/>
    </w:pPr>
  </w:style>
  <w:style w:type="paragraph" w:styleId="10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Indent 3"/>
    <w:basedOn w:val="1"/>
    <w:uiPriority w:val="0"/>
    <w:pPr>
      <w:spacing w:after="120" w:afterLines="0"/>
      <w:ind w:leftChars="200"/>
    </w:pPr>
    <w:rPr>
      <w:sz w:val="16"/>
      <w:szCs w:val="16"/>
    </w:rPr>
  </w:style>
  <w:style w:type="paragraph" w:styleId="13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table" w:styleId="15">
    <w:name w:val="Table Grid"/>
    <w:basedOn w:val="14"/>
    <w:qFormat/>
    <w:uiPriority w:val="59"/>
    <w:pPr>
      <w:widowControl w:val="0"/>
      <w:jc w:val="both"/>
    </w:pPr>
    <w:tblPr>
      <w:tblStyle w:val="1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qFormat/>
    <w:uiPriority w:val="0"/>
    <w:rPr>
      <w:b/>
      <w:bCs/>
    </w:rPr>
  </w:style>
  <w:style w:type="character" w:styleId="18">
    <w:name w:val="page number"/>
    <w:basedOn w:val="16"/>
    <w:uiPriority w:val="0"/>
  </w:style>
  <w:style w:type="character" w:styleId="19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1169</Words>
  <Characters>1201</Characters>
  <Lines>11</Lines>
  <Paragraphs>3</Paragraphs>
  <TotalTime>4</TotalTime>
  <ScaleCrop>false</ScaleCrop>
  <LinksUpToDate>false</LinksUpToDate>
  <CharactersWithSpaces>1207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2022-11-23T00:45:00Z</dcterms:created>
  <dc:creator>lenovo</dc:creator>
  <cp:lastModifiedBy>绯の花火</cp:lastModifiedBy>
  <cp:lastPrinted>2022-11-22T08:15:00Z</cp:lastPrinted>
  <dcterms:modified xsi:type="dcterms:W3CDTF">2025-06-27T10:20:24Z</dcterms:modified>
  <dc:title>                                                                                       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3E3AD578C8574E4E9F8319CE5963EC36_13</vt:lpwstr>
  </property>
  <property fmtid="{D5CDD505-2E9C-101B-9397-08002B2CF9AE}" pid="4" name="KSOTemplateDocerSaveRecord">
    <vt:lpwstr>eyJoZGlkIjoiMTVmZWQ3YjdhYmI1MmQ5MjE5YmYxYzA5N2U0NjQzOWYiLCJ1c2VySWQiOiI0MzAzMDQ5MTYifQ==</vt:lpwstr>
  </property>
</Properties>
</file>