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D97B2">
      <w:pPr>
        <w:pStyle w:val="11"/>
        <w:widowControl/>
        <w:spacing w:beforeAutospacing="0" w:afterAutospacing="0"/>
        <w:rPr>
          <w:rFonts w:ascii="仿宋_GB2312" w:hAnsi="仿宋_GB2312" w:eastAsia="仿宋_GB2312" w:cs="仿宋_GB2312"/>
          <w:sz w:val="28"/>
          <w:szCs w:val="28"/>
        </w:rPr>
      </w:pPr>
      <w:r>
        <w:rPr>
          <w:sz w:val="28"/>
          <w:szCs w:val="28"/>
        </w:rPr>
        <w:t>附件</w:t>
      </w:r>
      <w:r>
        <w:rPr>
          <w:rFonts w:hint="eastAsia"/>
          <w:sz w:val="28"/>
          <w:szCs w:val="28"/>
          <w:lang w:val="en-US" w:eastAsia="zh-CN"/>
        </w:rPr>
        <w:t>1</w:t>
      </w:r>
      <w:r>
        <w:rPr>
          <w:sz w:val="28"/>
          <w:szCs w:val="28"/>
        </w:rPr>
        <w:t>：</w:t>
      </w:r>
      <w:r>
        <w:rPr>
          <w:rFonts w:hint="eastAsia"/>
          <w:sz w:val="28"/>
          <w:szCs w:val="28"/>
        </w:rPr>
        <w:t>护理实训楼电梯拆除和井道修理服务需求</w:t>
      </w:r>
    </w:p>
    <w:p w14:paraId="0D11E7D8">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一、工作内容</w:t>
      </w:r>
    </w:p>
    <w:p w14:paraId="02F7F77B">
      <w:pPr>
        <w:spacing w:line="560" w:lineRule="exact"/>
        <w:ind w:firstLine="560" w:firstLineChars="200"/>
        <w:rPr>
          <w:rFonts w:ascii="仿宋_GB2312" w:hAnsi="仿宋_GB2312" w:eastAsia="仿宋_GB2312" w:cs="仿宋_GB2312"/>
          <w:bCs/>
          <w:sz w:val="28"/>
          <w:szCs w:val="28"/>
        </w:rPr>
      </w:pPr>
      <w:r>
        <w:rPr>
          <w:rFonts w:hint="eastAsia" w:ascii="仿宋_GB2312" w:hAnsi="Times New Roman" w:eastAsia="仿宋_GB2312" w:cs="Times New Roman"/>
          <w:sz w:val="28"/>
          <w:szCs w:val="28"/>
        </w:rPr>
        <w:t>广东江门中医药职业学院</w:t>
      </w:r>
      <w:r>
        <w:rPr>
          <w:rFonts w:hint="eastAsia" w:ascii="仿宋_GB2312" w:hAnsi="Times New Roman" w:eastAsia="仿宋_GB2312" w:cs="Times New Roman"/>
          <w:sz w:val="28"/>
          <w:szCs w:val="28"/>
          <w:lang w:val="en-US" w:eastAsia="zh-CN"/>
        </w:rPr>
        <w:t>护理实训安装新</w:t>
      </w:r>
      <w:r>
        <w:rPr>
          <w:rFonts w:hint="eastAsia" w:ascii="仿宋_GB2312" w:hAnsi="Times New Roman" w:eastAsia="仿宋_GB2312" w:cs="Times New Roman"/>
          <w:sz w:val="28"/>
          <w:szCs w:val="28"/>
        </w:rPr>
        <w:t>日立电梯1台</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需将旧电梯拆除，并按新电梯修理井道，符合新电梯安装要求</w:t>
      </w:r>
      <w:r>
        <w:rPr>
          <w:rFonts w:hint="eastAsia" w:ascii="仿宋_GB2312" w:hAnsi="Times New Roman" w:eastAsia="仿宋_GB2312" w:cs="Times New Roman"/>
          <w:sz w:val="28"/>
          <w:szCs w:val="28"/>
        </w:rPr>
        <w:t>。</w:t>
      </w:r>
      <w:r>
        <w:rPr>
          <w:rFonts w:hint="eastAsia" w:ascii="仿宋_GB2312" w:hAnsi="仿宋_GB2312" w:eastAsia="仿宋_GB2312" w:cs="仿宋_GB2312"/>
          <w:bCs/>
          <w:sz w:val="28"/>
          <w:szCs w:val="28"/>
        </w:rPr>
        <w:t>按</w:t>
      </w:r>
      <w:r>
        <w:rPr>
          <w:rFonts w:hint="eastAsia" w:ascii="仿宋_GB2312" w:hAnsi="仿宋_GB2312" w:eastAsia="仿宋_GB2312" w:cs="仿宋_GB2312"/>
          <w:sz w:val="28"/>
          <w:szCs w:val="28"/>
        </w:rPr>
        <w:t>《特种设备安全法》、《特种设备检验检测机构核准规则》（TSGZ7001-2021及最新版本）等规范</w:t>
      </w:r>
      <w:r>
        <w:rPr>
          <w:rFonts w:hint="eastAsia" w:ascii="仿宋_GB2312" w:hAnsi="仿宋_GB2312" w:eastAsia="仿宋_GB2312" w:cs="仿宋_GB2312"/>
          <w:bCs/>
          <w:sz w:val="28"/>
          <w:szCs w:val="28"/>
        </w:rPr>
        <w:t>承担履行法定许可手续、检验标准等，符合相关检验单位、厂家井道要求</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新</w:t>
      </w:r>
      <w:r>
        <w:rPr>
          <w:rFonts w:hint="eastAsia" w:ascii="仿宋_GB2312" w:hAnsi="仿宋_GB2312" w:eastAsia="仿宋_GB2312" w:cs="仿宋_GB2312"/>
          <w:bCs/>
          <w:sz w:val="28"/>
          <w:szCs w:val="28"/>
        </w:rPr>
        <w:t>电梯</w:t>
      </w:r>
      <w:r>
        <w:rPr>
          <w:rFonts w:hint="eastAsia" w:ascii="仿宋_GB2312" w:hAnsi="仿宋_GB2312" w:eastAsia="仿宋_GB2312" w:cs="仿宋_GB2312"/>
          <w:bCs/>
          <w:sz w:val="28"/>
          <w:szCs w:val="28"/>
          <w:lang w:val="en-US" w:eastAsia="zh-CN"/>
        </w:rPr>
        <w:t>型号如下</w:t>
      </w:r>
      <w:r>
        <w:rPr>
          <w:rFonts w:hint="eastAsia" w:ascii="仿宋_GB2312" w:hAnsi="仿宋_GB2312" w:eastAsia="仿宋_GB2312" w:cs="仿宋_GB2312"/>
          <w:bCs/>
          <w:sz w:val="28"/>
          <w:szCs w:val="28"/>
        </w:rPr>
        <w:t>：</w:t>
      </w:r>
    </w:p>
    <w:tbl>
      <w:tblPr>
        <w:tblStyle w:val="14"/>
        <w:tblW w:w="8358" w:type="dxa"/>
        <w:jc w:val="center"/>
        <w:tblLayout w:type="fixed"/>
        <w:tblCellMar>
          <w:top w:w="0" w:type="dxa"/>
          <w:left w:w="108" w:type="dxa"/>
          <w:bottom w:w="0" w:type="dxa"/>
          <w:right w:w="108" w:type="dxa"/>
        </w:tblCellMar>
      </w:tblPr>
      <w:tblGrid>
        <w:gridCol w:w="1820"/>
        <w:gridCol w:w="2604"/>
        <w:gridCol w:w="1708"/>
        <w:gridCol w:w="2226"/>
      </w:tblGrid>
      <w:tr w14:paraId="20BD2B33">
        <w:tblPrEx>
          <w:tblCellMar>
            <w:top w:w="0" w:type="dxa"/>
            <w:left w:w="108" w:type="dxa"/>
            <w:bottom w:w="0" w:type="dxa"/>
            <w:right w:w="108" w:type="dxa"/>
          </w:tblCellMar>
        </w:tblPrEx>
        <w:trPr>
          <w:trHeight w:val="783" w:hRule="atLeast"/>
          <w:jc w:val="center"/>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B06">
            <w:pPr>
              <w:spacing w:line="560" w:lineRule="exact"/>
              <w:jc w:val="center"/>
              <w:rPr>
                <w:rFonts w:hint="eastAsia" w:ascii="宋体" w:hAnsi="宋体" w:eastAsia="宋体" w:cs="宋体"/>
                <w:color w:val="000000"/>
                <w:sz w:val="28"/>
                <w:szCs w:val="28"/>
              </w:rPr>
            </w:pPr>
            <w:r>
              <w:rPr>
                <w:rFonts w:hint="eastAsia" w:ascii="仿宋_GB2312" w:hAnsi="仿宋_GB2312" w:eastAsia="仿宋_GB2312" w:cs="仿宋_GB2312"/>
                <w:bCs/>
                <w:sz w:val="28"/>
                <w:szCs w:val="28"/>
              </w:rPr>
              <w:t>序号</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9EDE">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bCs/>
                <w:sz w:val="28"/>
                <w:szCs w:val="28"/>
              </w:rPr>
              <w:t>电梯型号</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749B">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层/站/门</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1C80">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台数</w:t>
            </w:r>
          </w:p>
        </w:tc>
      </w:tr>
      <w:tr w14:paraId="52B2F58D">
        <w:tblPrEx>
          <w:tblCellMar>
            <w:top w:w="0" w:type="dxa"/>
            <w:left w:w="108" w:type="dxa"/>
            <w:bottom w:w="0" w:type="dxa"/>
            <w:right w:w="108" w:type="dxa"/>
          </w:tblCellMar>
        </w:tblPrEx>
        <w:trPr>
          <w:trHeight w:val="90" w:hRule="atLeast"/>
          <w:jc w:val="center"/>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0F0F">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6985">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HITACHI</w:t>
            </w:r>
          </w:p>
          <w:p w14:paraId="701A008F">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HGE-1050-CO60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67DC">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6/6/6</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2AC7">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r>
    </w:tbl>
    <w:p w14:paraId="3682F339">
      <w:pPr>
        <w:spacing w:line="560" w:lineRule="exact"/>
        <w:ind w:firstLine="560" w:firstLineChars="200"/>
        <w:rPr>
          <w:rFonts w:hint="eastAsia" w:ascii="黑体" w:hAnsi="黑体" w:eastAsia="黑体" w:cs="黑体"/>
          <w:bCs/>
          <w:sz w:val="28"/>
          <w:szCs w:val="28"/>
        </w:rPr>
      </w:pPr>
    </w:p>
    <w:p w14:paraId="58B992BE">
      <w:pPr>
        <w:spacing w:line="560" w:lineRule="exact"/>
        <w:ind w:firstLine="560" w:firstLineChars="200"/>
        <w:rPr>
          <w:rFonts w:hint="eastAsia" w:ascii="黑体" w:hAnsi="黑体" w:eastAsia="黑体" w:cs="黑体"/>
          <w:bCs/>
          <w:sz w:val="28"/>
          <w:szCs w:val="28"/>
        </w:rPr>
      </w:pPr>
      <w:r>
        <w:rPr>
          <w:rFonts w:ascii="黑体" w:hAnsi="黑体" w:eastAsia="黑体" w:cs="黑体"/>
          <w:bCs/>
          <w:sz w:val="28"/>
          <w:szCs w:val="28"/>
        </w:rPr>
        <w:t>二、服务内容及技术要求</w:t>
      </w:r>
    </w:p>
    <w:p w14:paraId="623F7656">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（一）旧电梯拆除服务</w:t>
      </w:r>
    </w:p>
    <w:p w14:paraId="63A7654E">
      <w:pPr>
        <w:spacing w:line="56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1.拆除旧电梯型号</w:t>
      </w:r>
    </w:p>
    <w:tbl>
      <w:tblPr>
        <w:tblStyle w:val="14"/>
        <w:tblW w:w="0" w:type="auto"/>
        <w:jc w:val="center"/>
        <w:tblLayout w:type="fixed"/>
        <w:tblCellMar>
          <w:top w:w="0" w:type="dxa"/>
          <w:left w:w="108" w:type="dxa"/>
          <w:bottom w:w="0" w:type="dxa"/>
          <w:right w:w="108" w:type="dxa"/>
        </w:tblCellMar>
      </w:tblPr>
      <w:tblGrid>
        <w:gridCol w:w="1853"/>
        <w:gridCol w:w="2705"/>
        <w:gridCol w:w="1688"/>
        <w:gridCol w:w="2258"/>
      </w:tblGrid>
      <w:tr w14:paraId="7F6D354D">
        <w:tblPrEx>
          <w:tblCellMar>
            <w:top w:w="0" w:type="dxa"/>
            <w:left w:w="108" w:type="dxa"/>
            <w:bottom w:w="0" w:type="dxa"/>
            <w:right w:w="108" w:type="dxa"/>
          </w:tblCellMar>
        </w:tblPrEx>
        <w:trPr>
          <w:trHeight w:val="855" w:hRule="atLeast"/>
          <w:jc w:val="center"/>
        </w:trPr>
        <w:tc>
          <w:tcPr>
            <w:tcW w:w="1853" w:type="dxa"/>
            <w:tcBorders>
              <w:top w:val="single" w:color="auto" w:sz="4" w:space="0"/>
              <w:left w:val="single" w:color="auto" w:sz="4" w:space="0"/>
              <w:bottom w:val="single" w:color="auto" w:sz="4" w:space="0"/>
              <w:right w:val="single" w:color="auto" w:sz="4" w:space="0"/>
            </w:tcBorders>
            <w:noWrap/>
            <w:vAlign w:val="center"/>
          </w:tcPr>
          <w:p w14:paraId="258F3F9D">
            <w:pPr>
              <w:spacing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705" w:type="dxa"/>
            <w:tcBorders>
              <w:top w:val="single" w:color="auto" w:sz="4" w:space="0"/>
              <w:left w:val="nil"/>
              <w:bottom w:val="single" w:color="auto" w:sz="4" w:space="0"/>
              <w:right w:val="single" w:color="auto" w:sz="4" w:space="0"/>
            </w:tcBorders>
            <w:noWrap w:val="0"/>
            <w:vAlign w:val="center"/>
          </w:tcPr>
          <w:p w14:paraId="60612451">
            <w:pPr>
              <w:spacing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电梯型号</w:t>
            </w:r>
          </w:p>
        </w:tc>
        <w:tc>
          <w:tcPr>
            <w:tcW w:w="1688" w:type="dxa"/>
            <w:tcBorders>
              <w:top w:val="single" w:color="auto" w:sz="4" w:space="0"/>
              <w:left w:val="nil"/>
              <w:bottom w:val="single" w:color="auto" w:sz="4" w:space="0"/>
              <w:right w:val="single" w:color="auto" w:sz="4" w:space="0"/>
            </w:tcBorders>
            <w:noWrap w:val="0"/>
            <w:vAlign w:val="center"/>
          </w:tcPr>
          <w:p w14:paraId="2ABD3836">
            <w:pPr>
              <w:spacing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层/站/门</w:t>
            </w:r>
          </w:p>
        </w:tc>
        <w:tc>
          <w:tcPr>
            <w:tcW w:w="2258" w:type="dxa"/>
            <w:tcBorders>
              <w:top w:val="single" w:color="auto" w:sz="4" w:space="0"/>
              <w:left w:val="nil"/>
              <w:bottom w:val="single" w:color="auto" w:sz="4" w:space="0"/>
              <w:right w:val="single" w:color="auto" w:sz="4" w:space="0"/>
            </w:tcBorders>
            <w:noWrap w:val="0"/>
            <w:vAlign w:val="center"/>
          </w:tcPr>
          <w:p w14:paraId="407EB068">
            <w:pPr>
              <w:spacing w:line="24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台数</w:t>
            </w:r>
          </w:p>
        </w:tc>
      </w:tr>
      <w:tr w14:paraId="42F962B0">
        <w:tblPrEx>
          <w:tblCellMar>
            <w:top w:w="0" w:type="dxa"/>
            <w:left w:w="108" w:type="dxa"/>
            <w:bottom w:w="0" w:type="dxa"/>
            <w:right w:w="108" w:type="dxa"/>
          </w:tblCellMar>
        </w:tblPrEx>
        <w:trPr>
          <w:trHeight w:val="433" w:hRule="atLeast"/>
          <w:jc w:val="center"/>
        </w:trPr>
        <w:tc>
          <w:tcPr>
            <w:tcW w:w="1853" w:type="dxa"/>
            <w:tcBorders>
              <w:top w:val="nil"/>
              <w:left w:val="single" w:color="auto" w:sz="4" w:space="0"/>
              <w:bottom w:val="single" w:color="auto" w:sz="4" w:space="0"/>
              <w:right w:val="single" w:color="auto" w:sz="4" w:space="0"/>
            </w:tcBorders>
            <w:noWrap/>
            <w:vAlign w:val="center"/>
          </w:tcPr>
          <w:p w14:paraId="4E68DA15">
            <w:pPr>
              <w:spacing w:line="240" w:lineRule="auto"/>
              <w:ind w:firstLine="560" w:firstLineChars="20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2705" w:type="dxa"/>
            <w:tcBorders>
              <w:top w:val="nil"/>
              <w:left w:val="nil"/>
              <w:bottom w:val="single" w:color="auto" w:sz="4" w:space="0"/>
              <w:right w:val="single" w:color="auto" w:sz="4" w:space="0"/>
            </w:tcBorders>
            <w:noWrap w:val="0"/>
            <w:vAlign w:val="center"/>
          </w:tcPr>
          <w:p w14:paraId="7C68B2F7">
            <w:pPr>
              <w:spacing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GVKⅠ1000-CO1.5</w:t>
            </w:r>
          </w:p>
        </w:tc>
        <w:tc>
          <w:tcPr>
            <w:tcW w:w="1688" w:type="dxa"/>
            <w:tcBorders>
              <w:top w:val="nil"/>
              <w:left w:val="nil"/>
              <w:bottom w:val="single" w:color="auto" w:sz="4" w:space="0"/>
              <w:right w:val="single" w:color="auto" w:sz="4" w:space="0"/>
            </w:tcBorders>
            <w:noWrap w:val="0"/>
            <w:vAlign w:val="center"/>
          </w:tcPr>
          <w:p w14:paraId="25144DA3">
            <w:pPr>
              <w:spacing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6/6/6</w:t>
            </w:r>
          </w:p>
        </w:tc>
        <w:tc>
          <w:tcPr>
            <w:tcW w:w="2258" w:type="dxa"/>
            <w:tcBorders>
              <w:top w:val="nil"/>
              <w:left w:val="nil"/>
              <w:bottom w:val="single" w:color="auto" w:sz="4" w:space="0"/>
              <w:right w:val="single" w:color="auto" w:sz="4" w:space="0"/>
            </w:tcBorders>
            <w:noWrap w:val="0"/>
            <w:vAlign w:val="center"/>
          </w:tcPr>
          <w:p w14:paraId="1F4456EA">
            <w:pPr>
              <w:spacing w:line="240" w:lineRule="auto"/>
              <w:ind w:firstLine="840" w:firstLineChars="3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r>
    </w:tbl>
    <w:p w14:paraId="37ABAFF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.拆除范围</w:t>
      </w:r>
    </w:p>
    <w:p w14:paraId="508B423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旧电梯整机（含轿厢、对重、导轨、控制柜、曳引机等全部部件）的拆除及清理。</w:t>
      </w:r>
    </w:p>
    <w:p w14:paraId="097838D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拆除过程中需保护井道内原有结构（如圈梁、预埋件等）不受损坏。</w:t>
      </w:r>
    </w:p>
    <w:p w14:paraId="642A139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拆除后的电梯部件需分类整理，可回收部件由供应商自行处理，不可回收废料需按环保要求清运至指定地点。</w:t>
      </w:r>
    </w:p>
    <w:p w14:paraId="3D3E15C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技术要求</w:t>
      </w:r>
    </w:p>
    <w:p w14:paraId="11D6DE59">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拆除前需提交详细的拆除方案及安全预案，经学校审核通过后方可施工。</w:t>
      </w:r>
    </w:p>
    <w:p w14:paraId="7B1CA86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拆除过程中需断电操作，并设置警示标识，确保人员安全。</w:t>
      </w:r>
    </w:p>
    <w:p w14:paraId="1574D6A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拆除后需对井道进行全面清理，确保无杂物残留。</w:t>
      </w:r>
    </w:p>
    <w:p w14:paraId="3E5C764D">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（二）电梯井道修理服务</w:t>
      </w:r>
    </w:p>
    <w:p w14:paraId="7C333E70">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井道结构改造</w:t>
      </w:r>
    </w:p>
    <w:p w14:paraId="54EF400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井道尺寸调整：根据新电梯（HGE-1050-CO60）技术参数，对井道宽度、深度及层高进行局部修改（具体尺寸以新电梯安装图纸为准）。</w:t>
      </w:r>
    </w:p>
    <w:p w14:paraId="79792C2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导轨支架加固：对原</w:t>
      </w:r>
      <w:r>
        <w:rPr>
          <w:rFonts w:hint="eastAsia" w:ascii="仿宋_GB2312" w:hAnsi="仿宋_GB2312" w:eastAsia="仿宋_GB2312" w:cs="仿宋_GB2312"/>
          <w:sz w:val="28"/>
          <w:szCs w:val="28"/>
        </w:rPr>
        <w:t>井道砖墙和预埋件不符合现检规要求，需用国标20</w:t>
      </w:r>
      <w:r>
        <w:rPr>
          <w:rFonts w:hint="eastAsia" w:ascii="仿宋_GB2312" w:hAnsi="仿宋_GB2312" w:eastAsia="仿宋_GB2312" w:cs="仿宋_GB2312"/>
          <w:sz w:val="28"/>
          <w:szCs w:val="28"/>
          <w:vertAlign w:val="superscript"/>
        </w:rPr>
        <w:t>#</w:t>
      </w:r>
      <w:r>
        <w:rPr>
          <w:rFonts w:hint="eastAsia" w:ascii="仿宋_GB2312" w:hAnsi="仿宋_GB2312" w:eastAsia="仿宋_GB2312" w:cs="仿宋_GB2312"/>
          <w:sz w:val="28"/>
          <w:szCs w:val="28"/>
        </w:rPr>
        <w:t>槽钢修井加固</w:t>
      </w:r>
      <w:r>
        <w:rPr>
          <w:rFonts w:ascii="仿宋_GB2312" w:hAnsi="仿宋_GB2312" w:eastAsia="仿宋_GB2312" w:cs="仿宋_GB2312"/>
          <w:sz w:val="28"/>
          <w:szCs w:val="28"/>
        </w:rPr>
        <w:t>。</w:t>
      </w:r>
    </w:p>
    <w:p w14:paraId="38A0CB6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层门洞口修改：按新电梯层门尺寸</w:t>
      </w:r>
      <w:r>
        <w:rPr>
          <w:rFonts w:hint="eastAsia" w:ascii="仿宋_GB2312" w:hAnsi="仿宋_GB2312" w:eastAsia="仿宋_GB2312" w:cs="仿宋_GB2312"/>
          <w:sz w:val="28"/>
          <w:szCs w:val="28"/>
        </w:rPr>
        <w:t>可保留原门套、踏板、拆除旧电梯门头、厅门。</w:t>
      </w:r>
    </w:p>
    <w:p w14:paraId="0BA847C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底坑处理：清理底坑积水、杂物，修复底坑防水层（如需）。</w:t>
      </w:r>
    </w:p>
    <w:p w14:paraId="51D72FF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材料要求</w:t>
      </w:r>
    </w:p>
    <w:p w14:paraId="475885F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钢材：采用Q235B及以上标准钢材，厚度≥6mm，需提供材质证明文件。</w:t>
      </w:r>
    </w:p>
    <w:p w14:paraId="2A18A0D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混凝土：采用C30及以上标号商品混凝土。</w:t>
      </w:r>
    </w:p>
    <w:p w14:paraId="0DDF037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紧固件：采用8.8级及以上高强度螺栓，配套螺母、垫圈需符合GB/T 5782标准。</w:t>
      </w:r>
    </w:p>
    <w:p w14:paraId="3F95B2C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密封材料：采用聚氨酯发泡胶或硅酮密封胶，需符合环保要求。</w:t>
      </w:r>
    </w:p>
    <w:p w14:paraId="6CF7F9A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施工要求</w:t>
      </w:r>
    </w:p>
    <w:p w14:paraId="0032079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井道改造需严格按照新电梯安装图纸及《电梯制造与安装安全规范》（GB 7588-2003）及其</w:t>
      </w:r>
      <w:r>
        <w:rPr>
          <w:rFonts w:hint="eastAsia" w:ascii="仿宋_GB2312" w:hAnsi="仿宋_GB2312" w:eastAsia="仿宋_GB2312" w:cs="仿宋_GB2312"/>
          <w:sz w:val="28"/>
          <w:szCs w:val="28"/>
        </w:rPr>
        <w:t>最新版本</w:t>
      </w:r>
      <w:r>
        <w:rPr>
          <w:rFonts w:ascii="仿宋_GB2312" w:hAnsi="仿宋_GB2312" w:eastAsia="仿宋_GB2312" w:cs="仿宋_GB2312"/>
          <w:sz w:val="28"/>
          <w:szCs w:val="28"/>
        </w:rPr>
        <w:t>执行。</w:t>
      </w:r>
    </w:p>
    <w:p w14:paraId="1A5ADA7E">
      <w:pPr>
        <w:spacing w:line="560" w:lineRule="exact"/>
        <w:ind w:firstLine="560" w:firstLineChars="200"/>
        <w:jc w:val="left"/>
        <w:rPr>
          <w:rFonts w:ascii="仿宋_GB2312" w:hAnsi="仿宋_GB2312" w:eastAsia="仿宋_GB2312" w:cs="仿宋_GB2312"/>
          <w:sz w:val="28"/>
          <w:szCs w:val="28"/>
        </w:rPr>
      </w:pPr>
      <w:r>
        <w:rPr>
          <w:rFonts w:hint="default" w:ascii="Times New Roman" w:hAnsi="Times New Roman" w:eastAsia="宋体"/>
          <w:color w:val="000000"/>
          <w:kern w:val="2"/>
          <w:sz w:val="28"/>
          <w:szCs w:val="28"/>
          <w:lang w:val="en-US" w:eastAsia="zh-CN"/>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焊接作业需由持证焊工操作，焊缝质量需符合三级及以上标准。</w:t>
      </w:r>
    </w:p>
    <w:p w14:paraId="2A7CE00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混凝土浇筑需分层振捣，养护时间≥7天，强度达标后方可进行下一道工序。</w:t>
      </w:r>
    </w:p>
    <w:p w14:paraId="13AC377C">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（三）辅材供应</w:t>
      </w:r>
    </w:p>
    <w:p w14:paraId="50D9572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辅材清单</w:t>
      </w:r>
    </w:p>
    <w:p w14:paraId="3CF15B7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钢结构连接件（角钢、槽钢、钢板等）。</w:t>
      </w:r>
    </w:p>
    <w:p w14:paraId="124EDE71">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（2）M16拉爆螺丝</w:t>
      </w:r>
      <w:r>
        <w:rPr>
          <w:rFonts w:ascii="仿宋_GB2312" w:hAnsi="仿宋_GB2312" w:eastAsia="仿宋_GB2312" w:cs="仿宋_GB2312"/>
          <w:sz w:val="28"/>
          <w:szCs w:val="28"/>
        </w:rPr>
        <w:t>等固定件。</w:t>
      </w:r>
    </w:p>
    <w:p w14:paraId="76B8525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防水涂料、防火涂料（如需）。</w:t>
      </w:r>
    </w:p>
    <w:p w14:paraId="183BC3C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施工临时用电、照明设备。</w:t>
      </w:r>
    </w:p>
    <w:p w14:paraId="47D2599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安全防护用品（安全带、安全网、警示标识等）。</w:t>
      </w:r>
    </w:p>
    <w:p w14:paraId="6BC508A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质量要求</w:t>
      </w:r>
    </w:p>
    <w:p w14:paraId="00EA752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所有辅材需</w:t>
      </w:r>
      <w:r>
        <w:rPr>
          <w:rFonts w:hint="eastAsia" w:ascii="仿宋_GB2312" w:hAnsi="仿宋_GB2312" w:eastAsia="仿宋_GB2312" w:cs="仿宋_GB2312"/>
          <w:sz w:val="28"/>
          <w:szCs w:val="28"/>
        </w:rPr>
        <w:t>符合厂家及技监部门验收要求</w:t>
      </w:r>
      <w:r>
        <w:rPr>
          <w:rFonts w:ascii="仿宋_GB2312" w:hAnsi="仿宋_GB2312" w:eastAsia="仿宋_GB2312" w:cs="仿宋_GB2312"/>
          <w:sz w:val="28"/>
          <w:szCs w:val="28"/>
        </w:rPr>
        <w:t>。</w:t>
      </w:r>
    </w:p>
    <w:p w14:paraId="4324D8E7">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三、安全与环保要求</w:t>
      </w:r>
    </w:p>
    <w:p w14:paraId="77A1FEA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安全管理</w:t>
      </w:r>
    </w:p>
    <w:p w14:paraId="1CB3BD6A">
      <w:pPr>
        <w:spacing w:line="560" w:lineRule="exact"/>
        <w:ind w:firstLine="560" w:firstLineChars="200"/>
        <w:jc w:val="left"/>
        <w:rPr>
          <w:rFonts w:ascii="仿宋_GB2312" w:hAnsi="仿宋_GB2312" w:eastAsia="仿宋_GB2312" w:cs="仿宋_GB2312"/>
          <w:sz w:val="28"/>
          <w:szCs w:val="28"/>
        </w:rPr>
      </w:pPr>
      <w:r>
        <w:rPr>
          <w:rFonts w:hint="default" w:ascii="Times New Roman" w:hAnsi="Times New Roman" w:eastAsia="宋体"/>
          <w:color w:val="000000"/>
          <w:kern w:val="2"/>
          <w:sz w:val="28"/>
          <w:szCs w:val="28"/>
          <w:lang w:val="en-US" w:eastAsia="zh-CN"/>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施工人员需持证上岗（电工证、焊工证、</w:t>
      </w:r>
      <w:r>
        <w:rPr>
          <w:rFonts w:hint="eastAsia" w:ascii="仿宋_GB2312" w:hAnsi="仿宋_GB2312" w:eastAsia="仿宋_GB2312" w:cs="仿宋_GB2312"/>
          <w:sz w:val="28"/>
          <w:szCs w:val="28"/>
        </w:rPr>
        <w:t>厂家安装课程结</w:t>
      </w:r>
      <w:r>
        <w:rPr>
          <w:rFonts w:ascii="仿宋_GB2312" w:hAnsi="仿宋_GB2312" w:eastAsia="仿宋_GB2312" w:cs="仿宋_GB2312"/>
          <w:sz w:val="28"/>
          <w:szCs w:val="28"/>
        </w:rPr>
        <w:t>业证</w:t>
      </w:r>
      <w:r>
        <w:rPr>
          <w:rFonts w:hint="eastAsia" w:ascii="仿宋_GB2312" w:hAnsi="仿宋_GB2312" w:eastAsia="仿宋_GB2312" w:cs="仿宋_GB2312"/>
          <w:sz w:val="28"/>
          <w:szCs w:val="28"/>
        </w:rPr>
        <w:t>书</w:t>
      </w:r>
      <w:r>
        <w:rPr>
          <w:rFonts w:ascii="仿宋_GB2312" w:hAnsi="仿宋_GB2312" w:eastAsia="仿宋_GB2312" w:cs="仿宋_GB2312"/>
          <w:sz w:val="28"/>
          <w:szCs w:val="28"/>
        </w:rPr>
        <w:t>等）。</w:t>
      </w:r>
    </w:p>
    <w:p w14:paraId="3676568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施工现场需设置安全围挡及警示标识，配备灭火器等消防器材。</w:t>
      </w:r>
    </w:p>
    <w:p w14:paraId="74E1B29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每日施工前需进行安全交底。</w:t>
      </w:r>
    </w:p>
    <w:p w14:paraId="118DEE6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环保要求</w:t>
      </w:r>
    </w:p>
    <w:p w14:paraId="0CFFB645">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拆除及施工过程中产生的粉尘、噪音需符合《建筑施工场界环境噪声排放标准》（GB 12523-2011）。</w:t>
      </w:r>
    </w:p>
    <w:p w14:paraId="4900282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废旧电梯部件、建筑垃圾需分类清运，严禁随意丢弃。</w:t>
      </w:r>
    </w:p>
    <w:p w14:paraId="2611CED1">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施工废水需经沉淀处理后排放。</w:t>
      </w:r>
    </w:p>
    <w:p w14:paraId="1437EF8F">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四、验收标准</w:t>
      </w:r>
    </w:p>
    <w:p w14:paraId="40EE0D4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拆除验收</w:t>
      </w:r>
    </w:p>
    <w:p w14:paraId="0781205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井道内无残留部件，底坑及层门区域清理干净。</w:t>
      </w:r>
    </w:p>
    <w:p w14:paraId="7FC2432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拆除过程无安全事故，周边设施无损坏。</w:t>
      </w:r>
    </w:p>
    <w:p w14:paraId="5A972D0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井道改造验收</w:t>
      </w:r>
    </w:p>
    <w:p w14:paraId="74A80531">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井道尺寸、垂直度、水平度符合新电梯安装要求。</w:t>
      </w:r>
    </w:p>
    <w:p w14:paraId="6CDC0EDA">
      <w:pPr>
        <w:tabs>
          <w:tab w:val="left" w:pos="871"/>
        </w:tabs>
        <w:spacing w:line="560" w:lineRule="exact"/>
        <w:ind w:firstLine="560" w:firstLineChars="200"/>
        <w:jc w:val="left"/>
        <w:rPr>
          <w:rFonts w:ascii="仿宋_GB2312" w:hAnsi="仿宋_GB2312" w:eastAsia="仿宋_GB2312" w:cs="仿宋_GB2312"/>
          <w:sz w:val="28"/>
          <w:szCs w:val="28"/>
        </w:rPr>
      </w:pPr>
      <w:r>
        <w:rPr>
          <w:rFonts w:hint="default" w:ascii="Times New Roman" w:hAnsi="Times New Roman" w:eastAsia="宋体"/>
          <w:color w:val="000000"/>
          <w:kern w:val="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导轨支架、层门洞口等关键部位强度检测合格。</w:t>
      </w:r>
    </w:p>
    <w:p w14:paraId="5132AA5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混凝土强度、防水层质量符合设计要求。</w:t>
      </w:r>
    </w:p>
    <w:p w14:paraId="1FBCDFA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资料提交</w:t>
      </w:r>
    </w:p>
    <w:p w14:paraId="2BDC2D8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施工过程记录（含照片）。</w:t>
      </w:r>
    </w:p>
    <w:p w14:paraId="501D6F8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安全文明施工验收证明。</w:t>
      </w:r>
    </w:p>
    <w:p w14:paraId="144C409F">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五、售后服务</w:t>
      </w:r>
    </w:p>
    <w:p w14:paraId="4C57DE8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质保期：自验收合格之日起不少于</w:t>
      </w:r>
      <w:r>
        <w:rPr>
          <w:rFonts w:hint="eastAsia" w:ascii="仿宋_GB2312" w:hAnsi="仿宋_GB2312" w:eastAsia="仿宋_GB2312" w:cs="仿宋_GB2312"/>
          <w:sz w:val="28"/>
          <w:szCs w:val="28"/>
        </w:rPr>
        <w:t>24</w:t>
      </w:r>
      <w:r>
        <w:rPr>
          <w:rFonts w:ascii="仿宋_GB2312" w:hAnsi="仿宋_GB2312" w:eastAsia="仿宋_GB2312" w:cs="仿宋_GB2312"/>
          <w:sz w:val="28"/>
          <w:szCs w:val="28"/>
        </w:rPr>
        <w:t>个月。</w:t>
      </w:r>
    </w:p>
    <w:p w14:paraId="6201389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质保期内出现质量问题，供应商需在24小时内响应，48小时内到达现场处理。</w:t>
      </w:r>
    </w:p>
    <w:p w14:paraId="63E5A8C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提供技术支持，定期回访维护。</w:t>
      </w:r>
    </w:p>
    <w:p w14:paraId="7C8836D9">
      <w:pPr>
        <w:spacing w:line="560" w:lineRule="exact"/>
        <w:ind w:firstLine="560" w:firstLineChars="200"/>
        <w:jc w:val="left"/>
        <w:rPr>
          <w:rFonts w:ascii="仿宋_GB2312" w:hAnsi="仿宋_GB2312" w:eastAsia="仿宋_GB2312" w:cs="仿宋_GB2312"/>
          <w:snapToGrid w:val="0"/>
          <w:kern w:val="0"/>
          <w:sz w:val="28"/>
          <w:szCs w:val="28"/>
        </w:rPr>
      </w:pPr>
      <w:r>
        <w:rPr>
          <w:rFonts w:ascii="仿宋_GB2312" w:hAnsi="仿宋_GB2312" w:eastAsia="仿宋_GB2312" w:cs="仿宋_GB2312"/>
          <w:sz w:val="28"/>
          <w:szCs w:val="28"/>
        </w:rPr>
        <w:t>六、其他要求</w:t>
      </w:r>
    </w:p>
    <w:p w14:paraId="10AD2642">
      <w:pPr>
        <w:spacing w:line="560" w:lineRule="exact"/>
        <w:ind w:firstLine="560" w:firstLineChars="20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依据相关法律法规政策文件规定，包括但不限于下列要求：</w:t>
      </w:r>
    </w:p>
    <w:p w14:paraId="5DA17C87">
      <w:pPr>
        <w:pStyle w:val="5"/>
        <w:spacing w:line="560" w:lineRule="exact"/>
        <w:ind w:firstLine="56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7333CFC">
      <w:pPr>
        <w:spacing w:line="560" w:lineRule="exact"/>
        <w:ind w:firstLine="560" w:firstLineChars="200"/>
        <w:jc w:val="left"/>
        <w:rPr>
          <w:rFonts w:ascii="仿宋_GB2312" w:hAnsi="仿宋_GB2312" w:eastAsia="仿宋_GB2312" w:cs="仿宋_GB2312"/>
          <w:snapToGrid w:val="0"/>
          <w:color w:val="auto"/>
          <w:kern w:val="0"/>
          <w:sz w:val="28"/>
          <w:szCs w:val="28"/>
        </w:rPr>
      </w:pPr>
      <w:r>
        <w:rPr>
          <w:rFonts w:hint="default" w:ascii="Times New Roman" w:hAnsi="Times New Roman" w:eastAsia="宋体"/>
          <w:color w:val="000000"/>
          <w:kern w:val="2"/>
          <w:sz w:val="28"/>
          <w:szCs w:val="28"/>
          <w:lang w:val="en-US" w:eastAsia="zh-CN"/>
        </w:rPr>
        <w:t>▲</w:t>
      </w:r>
      <w:r>
        <w:rPr>
          <w:rFonts w:hint="eastAsia" w:ascii="仿宋_GB2312" w:hAnsi="仿宋_GB2312" w:eastAsia="仿宋_GB2312" w:cs="仿宋_GB2312"/>
          <w:snapToGrid w:val="0"/>
          <w:kern w:val="0"/>
          <w:sz w:val="28"/>
          <w:szCs w:val="28"/>
        </w:rPr>
        <w:t>2.企业资质类别和等级：取得电梯设备种类包含维修施工类别(设备类型需包含乘客电载货电梯)A2级及以上的特种设备安装改造维修许可证</w:t>
      </w:r>
      <w:r>
        <w:rPr>
          <w:rFonts w:ascii="仿宋_GB2312" w:hAnsi="仿宋_GB2312" w:eastAsia="仿宋_GB2312" w:cs="仿宋_GB2312"/>
          <w:color w:val="auto"/>
          <w:sz w:val="28"/>
          <w:szCs w:val="28"/>
        </w:rPr>
        <w:t>，并提供近三年类似项目业绩证明。</w:t>
      </w:r>
    </w:p>
    <w:p w14:paraId="23B73F4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3.具备履行合同的专业技术能力。</w:t>
      </w:r>
      <w:r>
        <w:rPr>
          <w:rFonts w:ascii="仿宋_GB2312" w:hAnsi="仿宋_GB2312" w:eastAsia="仿宋_GB2312" w:cs="仿宋_GB2312"/>
          <w:sz w:val="28"/>
          <w:szCs w:val="28"/>
        </w:rPr>
        <w:t>投</w:t>
      </w:r>
      <w:r>
        <w:rPr>
          <w:rFonts w:hint="eastAsia" w:ascii="仿宋_GB2312" w:hAnsi="仿宋_GB2312" w:eastAsia="仿宋_GB2312" w:cs="仿宋_GB2312"/>
          <w:sz w:val="28"/>
          <w:szCs w:val="28"/>
          <w:lang w:val="en-US" w:eastAsia="zh-CN"/>
        </w:rPr>
        <w:t>报</w:t>
      </w:r>
      <w:r>
        <w:rPr>
          <w:rFonts w:ascii="仿宋_GB2312" w:hAnsi="仿宋_GB2312" w:eastAsia="仿宋_GB2312" w:cs="仿宋_GB2312"/>
          <w:sz w:val="28"/>
          <w:szCs w:val="28"/>
        </w:rPr>
        <w:t>文件中需包含施工进度计划表、人员配备表及安全应急预案。</w:t>
      </w:r>
    </w:p>
    <w:p w14:paraId="48035551">
      <w:pPr>
        <w:spacing w:line="560" w:lineRule="exact"/>
        <w:ind w:firstLine="560" w:firstLineChars="20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4.投报单位提交的各项资料必须真实准确全面，否则投报将被拒绝或作无效投报处理。</w:t>
      </w:r>
      <w:r>
        <w:rPr>
          <w:rFonts w:hint="eastAsia" w:ascii="仿宋_GB2312" w:hAnsi="仿宋_GB2312" w:eastAsia="仿宋_GB2312" w:cs="仿宋_GB2312"/>
          <w:sz w:val="28"/>
          <w:szCs w:val="28"/>
        </w:rPr>
        <w:t>本项目不接受联合体报名。</w:t>
      </w:r>
    </w:p>
    <w:p w14:paraId="42ECEC0D">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三、采购要求</w:t>
      </w:r>
    </w:p>
    <w:p w14:paraId="1628909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1.投报电梯安装单位报价时须列明服务期内由于电梯井道修理发生的保险、税收等其他所有费用。本项目最高限价为</w:t>
      </w:r>
      <w:r>
        <w:rPr>
          <w:rFonts w:hint="eastAsia" w:ascii="仿宋_GB2312" w:hAnsi="仿宋_GB2312" w:eastAsia="仿宋_GB2312" w:cs="仿宋_GB2312"/>
          <w:sz w:val="28"/>
          <w:szCs w:val="28"/>
          <w:lang w:val="en-US" w:eastAsia="zh-CN"/>
        </w:rPr>
        <w:t>420</w:t>
      </w:r>
      <w:r>
        <w:rPr>
          <w:rFonts w:hint="eastAsia" w:ascii="仿宋_GB2312" w:hAnsi="仿宋_GB2312" w:eastAsia="仿宋_GB2312" w:cs="仿宋_GB2312"/>
          <w:sz w:val="28"/>
          <w:szCs w:val="28"/>
        </w:rPr>
        <w:t>00.00元（大写：人民币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肆</w:t>
      </w:r>
      <w:r>
        <w:rPr>
          <w:rFonts w:hint="eastAsia" w:ascii="仿宋_GB2312" w:hAnsi="仿宋_GB2312" w:eastAsia="仿宋_GB2312" w:cs="仿宋_GB2312"/>
          <w:sz w:val="28"/>
          <w:szCs w:val="28"/>
        </w:rPr>
        <w:t>万</w:t>
      </w:r>
      <w:r>
        <w:rPr>
          <w:rFonts w:hint="eastAsia" w:ascii="仿宋_GB2312" w:hAnsi="仿宋_GB2312" w:eastAsia="仿宋_GB2312" w:cs="仿宋_GB2312"/>
          <w:sz w:val="28"/>
          <w:szCs w:val="28"/>
          <w:lang w:val="en-US" w:eastAsia="zh-CN"/>
        </w:rPr>
        <w:t>贰</w:t>
      </w:r>
      <w:r>
        <w:rPr>
          <w:rFonts w:hint="eastAsia" w:ascii="仿宋_GB2312" w:hAnsi="仿宋_GB2312" w:eastAsia="仿宋_GB2312" w:cs="仿宋_GB2312"/>
          <w:sz w:val="28"/>
          <w:szCs w:val="28"/>
        </w:rPr>
        <w:t>仟元整），此价格含拆除、改造、辅材、运输、税费等全部费用。</w:t>
      </w:r>
    </w:p>
    <w:p w14:paraId="2D3F6026">
      <w:pPr>
        <w:pStyle w:val="5"/>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2.服务期：自合同签订之日</w:t>
      </w:r>
      <w:r>
        <w:rPr>
          <w:rFonts w:hint="eastAsia" w:ascii="仿宋_GB2312" w:hAnsi="仿宋_GB2312" w:eastAsia="仿宋_GB2312" w:cs="仿宋_GB2312"/>
          <w:sz w:val="28"/>
          <w:szCs w:val="28"/>
          <w:lang w:val="en-US" w:eastAsia="zh-CN"/>
        </w:rPr>
        <w:t>起</w:t>
      </w:r>
      <w:r>
        <w:rPr>
          <w:rFonts w:hint="eastAsia" w:ascii="仿宋_GB2312" w:hAnsi="仿宋_GB2312" w:eastAsia="仿宋_GB2312" w:cs="仿宋_GB2312"/>
          <w:sz w:val="28"/>
          <w:szCs w:val="28"/>
        </w:rPr>
        <w:t>，7月20日前完成。</w:t>
      </w:r>
    </w:p>
    <w:p w14:paraId="7358583C">
      <w:pPr>
        <w:spacing w:line="560" w:lineRule="exact"/>
        <w:ind w:firstLine="560" w:firstLineChars="200"/>
        <w:rPr>
          <w:rFonts w:ascii="仿宋_GB2312" w:hAnsi="仿宋_GB2312" w:eastAsia="仿宋_GB2312" w:cs="仿宋_GB2312"/>
          <w:snapToGrid w:val="0"/>
          <w:kern w:val="0"/>
          <w:sz w:val="28"/>
          <w:szCs w:val="28"/>
        </w:rPr>
      </w:pPr>
      <w:r>
        <w:rPr>
          <w:rFonts w:hint="eastAsia" w:ascii="仿宋_GB2312" w:hAnsi="仿宋_GB2312" w:eastAsia="仿宋_GB2312" w:cs="仿宋_GB2312"/>
          <w:sz w:val="28"/>
          <w:szCs w:val="28"/>
        </w:rPr>
        <w:t>3.服务地点：广东省江门市区蓬江区龙湾路4号。</w:t>
      </w:r>
    </w:p>
    <w:p w14:paraId="1F3DEC1C">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四、响应文件要求</w:t>
      </w:r>
    </w:p>
    <w:p w14:paraId="2597C0D2">
      <w:pPr>
        <w:pStyle w:val="5"/>
        <w:spacing w:line="560" w:lineRule="exact"/>
        <w:ind w:firstLine="560"/>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1.</w:t>
      </w:r>
      <w:r>
        <w:rPr>
          <w:rFonts w:hint="eastAsia" w:ascii="仿宋_GB2312" w:hAnsi="Times New Roman" w:eastAsia="仿宋_GB2312" w:cs="Times New Roman"/>
          <w:sz w:val="28"/>
          <w:szCs w:val="28"/>
        </w:rPr>
        <w:t>广东江门中医药职业学院实训楼</w:t>
      </w:r>
      <w:r>
        <w:rPr>
          <w:rFonts w:hint="eastAsia" w:ascii="仿宋_GB2312" w:hAnsi="仿宋_GB2312" w:eastAsia="仿宋_GB2312" w:cs="仿宋_GB2312"/>
          <w:sz w:val="28"/>
          <w:szCs w:val="28"/>
        </w:rPr>
        <w:t>电梯井道修理项</w:t>
      </w:r>
      <w:r>
        <w:rPr>
          <w:rFonts w:hint="eastAsia" w:ascii="仿宋_GB2312" w:hAnsi="仿宋_GB2312" w:eastAsia="仿宋_GB2312" w:cs="仿宋_GB2312"/>
          <w:snapToGrid w:val="0"/>
          <w:kern w:val="0"/>
          <w:sz w:val="28"/>
          <w:szCs w:val="28"/>
        </w:rPr>
        <w:t>目</w:t>
      </w:r>
      <w:r>
        <w:rPr>
          <w:rFonts w:hint="eastAsia" w:ascii="仿宋_GB2312" w:hAnsi="仿宋_GB2312" w:eastAsia="仿宋_GB2312" w:cs="仿宋_GB2312"/>
          <w:sz w:val="28"/>
          <w:szCs w:val="28"/>
        </w:rPr>
        <w:t>报价文件纸质版一份（格式见附件）。</w:t>
      </w:r>
    </w:p>
    <w:p w14:paraId="49CCF92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2.提供的资料包括：报价</w:t>
      </w:r>
      <w:r>
        <w:rPr>
          <w:rFonts w:hint="eastAsia" w:ascii="仿宋_GB2312" w:hAnsi="仿宋_GB2312" w:eastAsia="仿宋_GB2312" w:cs="仿宋_GB2312"/>
          <w:sz w:val="28"/>
          <w:szCs w:val="28"/>
          <w:lang w:val="en-US" w:eastAsia="zh-CN"/>
        </w:rPr>
        <w:t>单</w:t>
      </w:r>
      <w:r>
        <w:rPr>
          <w:rFonts w:hint="eastAsia" w:ascii="仿宋_GB2312" w:hAnsi="仿宋_GB2312" w:eastAsia="仿宋_GB2312" w:cs="仿宋_GB2312"/>
          <w:sz w:val="28"/>
          <w:szCs w:val="28"/>
        </w:rPr>
        <w:t>、法定代表人证明、授权委托书（如有委托，附加盖公章的法定代表人身份证复印件及委托人身份证复印件）、营业执照（副本）、资质证书、报价人参加本项目比价采购认为有必要提供的其他资料。</w:t>
      </w:r>
    </w:p>
    <w:p w14:paraId="30470AB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.文件封装：一律采用A4纸，入袋内密封，对应写明供应商的单位名称。</w:t>
      </w:r>
    </w:p>
    <w:p w14:paraId="30733CC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.投报单位对本项目只允许一个有效报价，多个报价视为无效报价。报价为一次性不得更改的报价，以人民币报价并加盖单位公章方为有效。</w:t>
      </w:r>
    </w:p>
    <w:p w14:paraId="4FEEF1B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.报价超过最高限价为无效投</w:t>
      </w:r>
      <w:r>
        <w:rPr>
          <w:rFonts w:hint="eastAsia" w:ascii="仿宋_GB2312" w:hAnsi="仿宋_GB2312" w:eastAsia="仿宋_GB2312" w:cs="仿宋_GB2312"/>
          <w:sz w:val="28"/>
          <w:szCs w:val="28"/>
          <w:lang w:val="en-US" w:eastAsia="zh-CN"/>
        </w:rPr>
        <w:t>报</w:t>
      </w:r>
      <w:r>
        <w:rPr>
          <w:rFonts w:hint="eastAsia" w:ascii="仿宋_GB2312" w:hAnsi="仿宋_GB2312" w:eastAsia="仿宋_GB2312" w:cs="仿宋_GB2312"/>
          <w:sz w:val="28"/>
          <w:szCs w:val="28"/>
        </w:rPr>
        <w:t>。</w:t>
      </w:r>
    </w:p>
    <w:p w14:paraId="63604A09">
      <w:pPr>
        <w:pStyle w:val="5"/>
        <w:spacing w:line="560" w:lineRule="exact"/>
        <w:ind w:firstLine="560"/>
        <w:jc w:val="right"/>
        <w:rPr>
          <w:rFonts w:hint="eastAsia" w:ascii="仿宋_GB2312" w:hAnsi="仿宋_GB2312" w:eastAsia="仿宋_GB2312" w:cs="仿宋_GB2312"/>
          <w:sz w:val="28"/>
          <w:szCs w:val="28"/>
        </w:rPr>
      </w:pPr>
      <w:bookmarkStart w:id="0" w:name="_GoBack"/>
      <w:bookmarkEnd w:id="0"/>
    </w:p>
    <w:p w14:paraId="19525B61">
      <w:pPr>
        <w:pStyle w:val="5"/>
        <w:spacing w:line="560" w:lineRule="exact"/>
        <w:ind w:firstLine="560"/>
        <w:jc w:val="right"/>
        <w:rPr>
          <w:rFonts w:hint="eastAsia" w:ascii="仿宋_GB2312" w:hAnsi="仿宋_GB2312" w:eastAsia="仿宋_GB2312" w:cs="仿宋_GB2312"/>
          <w:sz w:val="28"/>
          <w:szCs w:val="28"/>
        </w:rPr>
      </w:pPr>
    </w:p>
    <w:p w14:paraId="2EB3BBF7">
      <w:pPr>
        <w:pStyle w:val="5"/>
        <w:spacing w:line="560" w:lineRule="exact"/>
        <w:ind w:firstLine="560"/>
        <w:jc w:val="right"/>
        <w:rPr>
          <w:rFonts w:hint="eastAsia" w:ascii="仿宋_GB2312" w:hAnsi="仿宋_GB2312" w:eastAsia="仿宋_GB2312" w:cs="仿宋_GB2312"/>
          <w:sz w:val="28"/>
          <w:szCs w:val="28"/>
        </w:rPr>
      </w:pPr>
    </w:p>
    <w:p w14:paraId="79D9B06B">
      <w:pPr>
        <w:pStyle w:val="12"/>
        <w:spacing w:line="579" w:lineRule="exact"/>
        <w:ind w:left="0" w:leftChars="0" w:firstLine="0" w:firstLineChars="0"/>
        <w:jc w:val="both"/>
        <w:rPr>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B724">
    <w:pPr>
      <w:pStyle w:val="1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C22530">
                          <w:pPr>
                            <w:pStyle w:val="10"/>
                            <w:rPr>
                              <w:rFonts w:hint="eastAsia" w:ascii="宋体" w:hAnsi="宋体" w:eastAsia="宋体" w:cs="宋体"/>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5DC22530">
                    <w:pPr>
                      <w:pStyle w:val="10"/>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88"/>
    <w:rsid w:val="000E4C28"/>
    <w:rsid w:val="005A299D"/>
    <w:rsid w:val="00686088"/>
    <w:rsid w:val="0070110D"/>
    <w:rsid w:val="05A66950"/>
    <w:rsid w:val="0B996E37"/>
    <w:rsid w:val="0F613B31"/>
    <w:rsid w:val="103B293D"/>
    <w:rsid w:val="1A0175FF"/>
    <w:rsid w:val="1DF83E91"/>
    <w:rsid w:val="22B64F54"/>
    <w:rsid w:val="23A71EDD"/>
    <w:rsid w:val="2628133F"/>
    <w:rsid w:val="2C7D1A05"/>
    <w:rsid w:val="36D06562"/>
    <w:rsid w:val="416B1FA5"/>
    <w:rsid w:val="43D61CCF"/>
    <w:rsid w:val="44147DF7"/>
    <w:rsid w:val="446E367E"/>
    <w:rsid w:val="47A91DF7"/>
    <w:rsid w:val="47E95A52"/>
    <w:rsid w:val="4EB27F29"/>
    <w:rsid w:val="55102B67"/>
    <w:rsid w:val="6CF66663"/>
    <w:rsid w:val="7F1A7D0B"/>
    <w:rsid w:val="7F76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20" w:after="20" w:line="400" w:lineRule="exact"/>
      <w:outlineLvl w:val="1"/>
    </w:pPr>
    <w:rPr>
      <w:rFonts w:ascii="黑体" w:eastAsia="黑体"/>
      <w:b/>
      <w:sz w:val="2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qFormat/>
    <w:uiPriority w:val="0"/>
    <w:pPr>
      <w:spacing w:line="340" w:lineRule="exact"/>
      <w:jc w:val="center"/>
    </w:pPr>
    <w:rPr>
      <w:rFonts w:ascii="仿宋_GB2312" w:eastAsia="仿宋_GB2312"/>
      <w:sz w:val="36"/>
    </w:rPr>
  </w:style>
  <w:style w:type="paragraph" w:styleId="7">
    <w:name w:val="Body Text Indent"/>
    <w:basedOn w:val="1"/>
    <w:qFormat/>
    <w:uiPriority w:val="99"/>
    <w:pPr>
      <w:ind w:left="420" w:leftChars="200"/>
    </w:pPr>
  </w:style>
  <w:style w:type="paragraph" w:styleId="8">
    <w:name w:val="Plain Text"/>
    <w:basedOn w:val="1"/>
    <w:qFormat/>
    <w:uiPriority w:val="0"/>
    <w:pPr>
      <w:widowControl/>
      <w:spacing w:before="100" w:beforeAutospacing="1" w:after="100" w:afterAutospacing="1"/>
      <w:jc w:val="left"/>
    </w:pPr>
    <w:rPr>
      <w:rFonts w:ascii="宋体" w:hAnsi="宋体"/>
      <w:kern w:val="0"/>
      <w:sz w:val="24"/>
    </w:rPr>
  </w:style>
  <w:style w:type="paragraph" w:styleId="9">
    <w:name w:val="endnote text"/>
    <w:basedOn w:val="1"/>
    <w:qFormat/>
    <w:uiPriority w:val="0"/>
    <w:pPr>
      <w:snapToGrid w:val="0"/>
      <w:jc w:val="left"/>
    </w:pPr>
    <w:rPr>
      <w:rFonts w:ascii="宋体" w:hAnsi="宋体" w:eastAsia="宋体" w:cs="Times New Roman"/>
      <w:kern w:val="0"/>
      <w:sz w:val="2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6"/>
    <w:unhideWhenUsed/>
    <w:qFormat/>
    <w:uiPriority w:val="99"/>
    <w:pPr>
      <w:ind w:firstLine="420" w:firstLineChars="100"/>
    </w:pPr>
    <w:rPr>
      <w:rFonts w:ascii="Calibri" w:hAnsi="Calibri" w:eastAsia="宋体" w:cs="Times New Roman"/>
      <w:sz w:val="21"/>
      <w:szCs w:val="22"/>
    </w:rPr>
  </w:style>
  <w:style w:type="paragraph" w:styleId="13">
    <w:name w:val="Body Text First Indent 2"/>
    <w:basedOn w:val="7"/>
    <w:unhideWhenUsed/>
    <w:qFormat/>
    <w:uiPriority w:val="99"/>
    <w:pPr>
      <w:ind w:firstLine="420"/>
    </w:pPr>
  </w:style>
  <w:style w:type="character" w:styleId="16">
    <w:name w:val="Strong"/>
    <w:basedOn w:val="15"/>
    <w:qFormat/>
    <w:uiPriority w:val="0"/>
    <w:rPr>
      <w:b/>
    </w:rPr>
  </w:style>
  <w:style w:type="character" w:customStyle="1" w:styleId="17">
    <w:name w:val="font51"/>
    <w:basedOn w:val="15"/>
    <w:qFormat/>
    <w:uiPriority w:val="0"/>
    <w:rPr>
      <w:rFonts w:ascii="宋体" w:hAnsi="宋体" w:eastAsia="宋体" w:cs="宋体"/>
      <w:b/>
      <w:bCs/>
      <w:color w:val="000000"/>
      <w:sz w:val="40"/>
      <w:szCs w:val="40"/>
      <w:u w:val="none"/>
    </w:rPr>
  </w:style>
  <w:style w:type="character" w:customStyle="1" w:styleId="18">
    <w:name w:val="font61"/>
    <w:basedOn w:val="15"/>
    <w:qFormat/>
    <w:uiPriority w:val="0"/>
    <w:rPr>
      <w:rFonts w:ascii="宋体" w:hAnsi="宋体" w:eastAsia="宋体" w:cs="宋体"/>
      <w:color w:val="000000"/>
      <w:sz w:val="40"/>
      <w:szCs w:val="40"/>
      <w:u w:val="none"/>
    </w:rPr>
  </w:style>
  <w:style w:type="character" w:customStyle="1" w:styleId="19">
    <w:name w:val="font31"/>
    <w:basedOn w:val="15"/>
    <w:qFormat/>
    <w:uiPriority w:val="0"/>
    <w:rPr>
      <w:rFonts w:ascii="宋体" w:hAnsi="宋体" w:eastAsia="宋体" w:cs="宋体"/>
      <w:color w:val="000000"/>
      <w:sz w:val="24"/>
      <w:szCs w:val="24"/>
      <w:u w:val="none"/>
    </w:rPr>
  </w:style>
  <w:style w:type="character" w:customStyle="1" w:styleId="20">
    <w:name w:val="font11"/>
    <w:basedOn w:val="15"/>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2164</Words>
  <Characters>2309</Characters>
  <Lines>250</Lines>
  <Paragraphs>272</Paragraphs>
  <TotalTime>3</TotalTime>
  <ScaleCrop>false</ScaleCrop>
  <LinksUpToDate>false</LinksUpToDate>
  <CharactersWithSpaces>2313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2025-06-19T07:55:00Z</dcterms:created>
  <dc:creator>dell</dc:creator>
  <cp:lastModifiedBy>绯の花火</cp:lastModifiedBy>
  <dcterms:modified xsi:type="dcterms:W3CDTF">2025-06-26T07:52:58Z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eyJoZGlkIjoiMTVmZWQ3YjdhYmI1MmQ5MjE5YmYxYzA5N2U0NjQzOWYiLCJ1c2VySWQiOiI0MzAzMDQ5MTYifQ==</vt:lpwstr>
  </property>
  <property fmtid="{D5CDD505-2E9C-101B-9397-08002B2CF9AE}" pid="4" name="ICV">
    <vt:lpwstr>8DA2374E16984770BA1367E2D558C128_13</vt:lpwstr>
  </property>
</Properties>
</file>